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📊 Annex A – Financial Tables</w:t>
      </w:r>
    </w:p>
    <w:p>
      <w:r>
        <w:t>Methodology: Modelled estimates based on Terra Vita’s pre‑launch assumptions and pilot targets. Forward‑looking only, not measured.</w:t>
      </w:r>
    </w:p>
    <w:p>
      <w:r>
        <w:t>5‑Year Financial Projections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Year</w:t>
            </w:r>
          </w:p>
        </w:tc>
        <w:tc>
          <w:tcPr>
            <w:tcW w:type="dxa" w:w="1728"/>
          </w:tcPr>
          <w:p>
            <w:r>
              <w:t>Revenue (€)</w:t>
            </w:r>
          </w:p>
        </w:tc>
        <w:tc>
          <w:tcPr>
            <w:tcW w:type="dxa" w:w="1728"/>
          </w:tcPr>
          <w:p>
            <w:r>
              <w:t>EBITDA (€)</w:t>
            </w:r>
          </w:p>
        </w:tc>
        <w:tc>
          <w:tcPr>
            <w:tcW w:type="dxa" w:w="1728"/>
          </w:tcPr>
          <w:p>
            <w:r>
              <w:t>Net Cash Flow (€)</w:t>
            </w:r>
          </w:p>
        </w:tc>
        <w:tc>
          <w:tcPr>
            <w:tcW w:type="dxa" w:w="1728"/>
          </w:tcPr>
          <w:p>
            <w:r>
              <w:t>DSCR (×)</w:t>
            </w:r>
          </w:p>
        </w:tc>
      </w:tr>
      <w:tr>
        <w:tc>
          <w:tcPr>
            <w:tcW w:type="dxa" w:w="1728"/>
          </w:tcPr>
          <w:p>
            <w:r>
              <w:t>Y1</w:t>
            </w:r>
          </w:p>
        </w:tc>
        <w:tc>
          <w:tcPr>
            <w:tcW w:type="dxa" w:w="1728"/>
          </w:tcPr>
          <w:p>
            <w:r>
              <w:t>120,000</w:t>
            </w:r>
          </w:p>
        </w:tc>
        <w:tc>
          <w:tcPr>
            <w:tcW w:type="dxa" w:w="1728"/>
          </w:tcPr>
          <w:p>
            <w:r>
              <w:t>30,000</w:t>
            </w:r>
          </w:p>
        </w:tc>
        <w:tc>
          <w:tcPr>
            <w:tcW w:type="dxa" w:w="1728"/>
          </w:tcPr>
          <w:p>
            <w:r>
              <w:t>20,000</w:t>
            </w:r>
          </w:p>
        </w:tc>
        <w:tc>
          <w:tcPr>
            <w:tcW w:type="dxa" w:w="1728"/>
          </w:tcPr>
          <w:p>
            <w:r>
              <w:t>1.1×</w:t>
            </w:r>
          </w:p>
        </w:tc>
      </w:tr>
      <w:tr>
        <w:tc>
          <w:tcPr>
            <w:tcW w:type="dxa" w:w="1728"/>
          </w:tcPr>
          <w:p>
            <w:r>
              <w:t>Y2</w:t>
            </w:r>
          </w:p>
        </w:tc>
        <w:tc>
          <w:tcPr>
            <w:tcW w:type="dxa" w:w="1728"/>
          </w:tcPr>
          <w:p>
            <w:r>
              <w:t>220,000</w:t>
            </w:r>
          </w:p>
        </w:tc>
        <w:tc>
          <w:tcPr>
            <w:tcW w:type="dxa" w:w="1728"/>
          </w:tcPr>
          <w:p>
            <w:r>
              <w:t>80,000</w:t>
            </w:r>
          </w:p>
        </w:tc>
        <w:tc>
          <w:tcPr>
            <w:tcW w:type="dxa" w:w="1728"/>
          </w:tcPr>
          <w:p>
            <w:r>
              <w:t>70,000</w:t>
            </w:r>
          </w:p>
        </w:tc>
        <w:tc>
          <w:tcPr>
            <w:tcW w:type="dxa" w:w="1728"/>
          </w:tcPr>
          <w:p>
            <w:r>
              <w:t>1.2×</w:t>
            </w:r>
          </w:p>
        </w:tc>
      </w:tr>
      <w:tr>
        <w:tc>
          <w:tcPr>
            <w:tcW w:type="dxa" w:w="1728"/>
          </w:tcPr>
          <w:p>
            <w:r>
              <w:t>Y3</w:t>
            </w:r>
          </w:p>
        </w:tc>
        <w:tc>
          <w:tcPr>
            <w:tcW w:type="dxa" w:w="1728"/>
          </w:tcPr>
          <w:p>
            <w:r>
              <w:t>350,000</w:t>
            </w:r>
          </w:p>
        </w:tc>
        <w:tc>
          <w:tcPr>
            <w:tcW w:type="dxa" w:w="1728"/>
          </w:tcPr>
          <w:p>
            <w:r>
              <w:t>150,000</w:t>
            </w:r>
          </w:p>
        </w:tc>
        <w:tc>
          <w:tcPr>
            <w:tcW w:type="dxa" w:w="1728"/>
          </w:tcPr>
          <w:p>
            <w:r>
              <w:t>140,000</w:t>
            </w:r>
          </w:p>
        </w:tc>
        <w:tc>
          <w:tcPr>
            <w:tcW w:type="dxa" w:w="1728"/>
          </w:tcPr>
          <w:p>
            <w:r>
              <w:t>1.3×</w:t>
            </w:r>
          </w:p>
        </w:tc>
      </w:tr>
      <w:tr>
        <w:tc>
          <w:tcPr>
            <w:tcW w:type="dxa" w:w="1728"/>
          </w:tcPr>
          <w:p>
            <w:r>
              <w:t>Y4</w:t>
            </w:r>
          </w:p>
        </w:tc>
        <w:tc>
          <w:tcPr>
            <w:tcW w:type="dxa" w:w="1728"/>
          </w:tcPr>
          <w:p>
            <w:r>
              <w:t>450,000</w:t>
            </w:r>
          </w:p>
        </w:tc>
        <w:tc>
          <w:tcPr>
            <w:tcW w:type="dxa" w:w="1728"/>
          </w:tcPr>
          <w:p>
            <w:r>
              <w:t>200,000</w:t>
            </w:r>
          </w:p>
        </w:tc>
        <w:tc>
          <w:tcPr>
            <w:tcW w:type="dxa" w:w="1728"/>
          </w:tcPr>
          <w:p>
            <w:r>
              <w:t>180,000</w:t>
            </w:r>
          </w:p>
        </w:tc>
        <w:tc>
          <w:tcPr>
            <w:tcW w:type="dxa" w:w="1728"/>
          </w:tcPr>
          <w:p>
            <w:r>
              <w:t>1.4×</w:t>
            </w:r>
          </w:p>
        </w:tc>
      </w:tr>
      <w:tr>
        <w:tc>
          <w:tcPr>
            <w:tcW w:type="dxa" w:w="1728"/>
          </w:tcPr>
          <w:p>
            <w:r>
              <w:t>Y5</w:t>
            </w:r>
          </w:p>
        </w:tc>
        <w:tc>
          <w:tcPr>
            <w:tcW w:type="dxa" w:w="1728"/>
          </w:tcPr>
          <w:p>
            <w:r>
              <w:t>600,000</w:t>
            </w:r>
          </w:p>
        </w:tc>
        <w:tc>
          <w:tcPr>
            <w:tcW w:type="dxa" w:w="1728"/>
          </w:tcPr>
          <w:p>
            <w:r>
              <w:t>280,000</w:t>
            </w:r>
          </w:p>
        </w:tc>
        <w:tc>
          <w:tcPr>
            <w:tcW w:type="dxa" w:w="1728"/>
          </w:tcPr>
          <w:p>
            <w:r>
              <w:t>250,000</w:t>
            </w:r>
          </w:p>
        </w:tc>
        <w:tc>
          <w:tcPr>
            <w:tcW w:type="dxa" w:w="1728"/>
          </w:tcPr>
          <w:p>
            <w:r>
              <w:t>1.5×</w:t>
            </w:r>
          </w:p>
        </w:tc>
      </w:tr>
    </w:tbl>
    <w:p>
      <w:r>
        <w:t>Key View: Revenue scales 5× over five years, EBITDA margin strengthens, and DSCR improves steadily from 1.1× to 1.5×, signalling increasing debt service resilience.</w:t>
      </w:r>
    </w:p>
    <w:p>
      <w:r>
        <w:t>ROI &amp; Payback Snapshot</w:t>
      </w:r>
    </w:p>
    <w:p>
      <w:r>
        <w:t>Methodology: Derived from 5‑year projections and base‑case IRR modelling.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IRR (Base)</w:t>
            </w:r>
          </w:p>
        </w:tc>
        <w:tc>
          <w:tcPr>
            <w:tcW w:type="dxa" w:w="4320"/>
          </w:tcPr>
          <w:p>
            <w:r>
              <w:t>22%</w:t>
            </w:r>
          </w:p>
        </w:tc>
      </w:tr>
      <w:tr>
        <w:tc>
          <w:tcPr>
            <w:tcW w:type="dxa" w:w="4320"/>
          </w:tcPr>
          <w:p>
            <w:r>
              <w:t>ROI (Y5)</w:t>
            </w:r>
          </w:p>
        </w:tc>
        <w:tc>
          <w:tcPr>
            <w:tcW w:type="dxa" w:w="4320"/>
          </w:tcPr>
          <w:p>
            <w:r>
              <w:t>2.8×</w:t>
            </w:r>
          </w:p>
        </w:tc>
      </w:tr>
      <w:tr>
        <w:tc>
          <w:tcPr>
            <w:tcW w:type="dxa" w:w="4320"/>
          </w:tcPr>
          <w:p>
            <w:r>
              <w:t>Payback Period</w:t>
            </w:r>
          </w:p>
        </w:tc>
        <w:tc>
          <w:tcPr>
            <w:tcW w:type="dxa" w:w="4320"/>
          </w:tcPr>
          <w:p>
            <w:r>
              <w:t>&lt; 2 yrs</w:t>
            </w:r>
          </w:p>
        </w:tc>
      </w:tr>
    </w:tbl>
    <w:p>
      <w:r>
        <w:t>Key View: Asset‑backed security and rapid payback (&lt;2 years) provide early investor confidence, while IRR and ROI demonstrate attractive long‑term returns.</w:t>
      </w:r>
    </w:p>
    <w:p>
      <w:r>
        <w:t>Seed Allocation</w:t>
      </w:r>
    </w:p>
    <w:p>
      <w:r>
        <w:t>Methodology: Allocation of €350k seed capital, modelled for pre‑launch phase.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Category</w:t>
            </w:r>
          </w:p>
        </w:tc>
        <w:tc>
          <w:tcPr>
            <w:tcW w:type="dxa" w:w="2880"/>
          </w:tcPr>
          <w:p>
            <w:r>
              <w:t>% Allocation</w:t>
            </w:r>
          </w:p>
        </w:tc>
        <w:tc>
          <w:tcPr>
            <w:tcW w:type="dxa" w:w="2880"/>
          </w:tcPr>
          <w:p>
            <w:r>
              <w:t>Amount (€)</w:t>
            </w:r>
          </w:p>
        </w:tc>
      </w:tr>
      <w:tr>
        <w:tc>
          <w:tcPr>
            <w:tcW w:type="dxa" w:w="2880"/>
          </w:tcPr>
          <w:p>
            <w:r>
              <w:t>Land</w:t>
            </w:r>
          </w:p>
        </w:tc>
        <w:tc>
          <w:tcPr>
            <w:tcW w:type="dxa" w:w="2880"/>
          </w:tcPr>
          <w:p>
            <w:r>
              <w:t>62.9%</w:t>
            </w:r>
          </w:p>
        </w:tc>
        <w:tc>
          <w:tcPr>
            <w:tcW w:type="dxa" w:w="2880"/>
          </w:tcPr>
          <w:p>
            <w:r>
              <w:t>220,000</w:t>
            </w:r>
          </w:p>
        </w:tc>
      </w:tr>
      <w:tr>
        <w:tc>
          <w:tcPr>
            <w:tcW w:type="dxa" w:w="2880"/>
          </w:tcPr>
          <w:p>
            <w:r>
              <w:t>CAPEX</w:t>
            </w:r>
          </w:p>
        </w:tc>
        <w:tc>
          <w:tcPr>
            <w:tcW w:type="dxa" w:w="2880"/>
          </w:tcPr>
          <w:p>
            <w:r>
              <w:t>22.9%</w:t>
            </w:r>
          </w:p>
        </w:tc>
        <w:tc>
          <w:tcPr>
            <w:tcW w:type="dxa" w:w="2880"/>
          </w:tcPr>
          <w:p>
            <w:r>
              <w:t>80,000</w:t>
            </w:r>
          </w:p>
        </w:tc>
      </w:tr>
      <w:tr>
        <w:tc>
          <w:tcPr>
            <w:tcW w:type="dxa" w:w="2880"/>
          </w:tcPr>
          <w:p>
            <w:r>
              <w:t>OPEX + Branding</w:t>
            </w:r>
          </w:p>
        </w:tc>
        <w:tc>
          <w:tcPr>
            <w:tcW w:type="dxa" w:w="2880"/>
          </w:tcPr>
          <w:p>
            <w:r>
              <w:t>14.2%</w:t>
            </w:r>
          </w:p>
        </w:tc>
        <w:tc>
          <w:tcPr>
            <w:tcW w:type="dxa" w:w="2880"/>
          </w:tcPr>
          <w:p>
            <w:r>
              <w:t>50,000</w:t>
            </w:r>
          </w:p>
        </w:tc>
      </w:tr>
      <w:tr>
        <w:tc>
          <w:tcPr>
            <w:tcW w:type="dxa" w:w="2880"/>
          </w:tcPr>
          <w:p>
            <w:r>
              <w:t>Total</w:t>
            </w:r>
          </w:p>
        </w:tc>
        <w:tc>
          <w:tcPr>
            <w:tcW w:type="dxa" w:w="2880"/>
          </w:tcPr>
          <w:p>
            <w:r>
              <w:t>100%</w:t>
            </w:r>
          </w:p>
        </w:tc>
        <w:tc>
          <w:tcPr>
            <w:tcW w:type="dxa" w:w="2880"/>
          </w:tcPr>
          <w:p>
            <w:r>
              <w:t>350,000</w:t>
            </w:r>
          </w:p>
        </w:tc>
      </w:tr>
    </w:tbl>
    <w:p>
      <w:r>
        <w:t>Key View: Majority allocation to land ensures asset‑backed security, with CAPEX and lean OPEX supporting early operational readiness.</w:t>
      </w:r>
    </w:p>
    <w:p>
      <w:r>
        <w:t>Visuals</w:t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A_lin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A_ba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432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A_pi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